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8018"/>
      </w:tblGrid>
      <w:tr w:rsidR="00990F46" w:rsidRPr="00923CE5" w:rsidTr="00990F46">
        <w:tc>
          <w:tcPr>
            <w:tcW w:w="1332" w:type="dxa"/>
          </w:tcPr>
          <w:p w:rsidR="00990F46" w:rsidRPr="00923CE5" w:rsidRDefault="00990F46" w:rsidP="00586787">
            <w:pPr>
              <w:spacing w:afterLines="60" w:after="144"/>
              <w:rPr>
                <w:rFonts w:cstheme="minorHAnsi"/>
                <w:sz w:val="24"/>
                <w:szCs w:val="24"/>
                <w:lang w:val="id-ID"/>
              </w:rPr>
            </w:pPr>
            <w:r w:rsidRPr="00923CE5">
              <w:rPr>
                <w:rFonts w:cstheme="minorHAnsi"/>
                <w:sz w:val="24"/>
                <w:szCs w:val="24"/>
                <w:lang w:val="id-ID"/>
              </w:rPr>
              <w:t>Tittle</w:t>
            </w:r>
          </w:p>
        </w:tc>
        <w:tc>
          <w:tcPr>
            <w:tcW w:w="8018" w:type="dxa"/>
          </w:tcPr>
          <w:p w:rsidR="00990F46" w:rsidRPr="00923CE5" w:rsidRDefault="00586787" w:rsidP="00586787">
            <w:pPr>
              <w:pBdr>
                <w:between w:val="single" w:sz="4" w:space="1" w:color="auto"/>
              </w:pBdr>
              <w:spacing w:afterLines="60" w:after="144"/>
              <w:rPr>
                <w:rFonts w:cstheme="minorHAnsi"/>
                <w:sz w:val="24"/>
                <w:szCs w:val="24"/>
                <w:lang w:val="id-ID"/>
              </w:rPr>
            </w:pPr>
            <w:r w:rsidRPr="00586787">
              <w:rPr>
                <w:rFonts w:cstheme="minorHAnsi"/>
                <w:sz w:val="24"/>
                <w:szCs w:val="24"/>
                <w:lang w:val="id-ID"/>
              </w:rPr>
              <w:t>Tarif BPJS Kesehatan Akan Naik Hingga 100%</w:t>
            </w:r>
          </w:p>
        </w:tc>
      </w:tr>
      <w:tr w:rsidR="00990F46" w:rsidRPr="00923CE5" w:rsidTr="00990F46">
        <w:tc>
          <w:tcPr>
            <w:tcW w:w="1332" w:type="dxa"/>
            <w:vMerge w:val="restart"/>
          </w:tcPr>
          <w:p w:rsidR="00990F46" w:rsidRPr="00923CE5" w:rsidRDefault="00990F46" w:rsidP="00586787">
            <w:pPr>
              <w:spacing w:afterLines="60" w:after="144"/>
              <w:rPr>
                <w:rFonts w:cstheme="minorHAnsi"/>
                <w:sz w:val="24"/>
                <w:szCs w:val="24"/>
              </w:rPr>
            </w:pPr>
            <w:r w:rsidRPr="00923CE5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8018" w:type="dxa"/>
          </w:tcPr>
          <w:p w:rsidR="00990F46" w:rsidRPr="00923CE5" w:rsidRDefault="00586787" w:rsidP="00586787">
            <w:pPr>
              <w:spacing w:afterLines="60" w:after="144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Untuk menghindari defisit anggaran, tarif BPJS Kesehatan akan mengalami kenaikan.</w:t>
            </w:r>
          </w:p>
        </w:tc>
      </w:tr>
      <w:tr w:rsidR="00990F46" w:rsidRPr="00923CE5" w:rsidTr="00990F46">
        <w:tc>
          <w:tcPr>
            <w:tcW w:w="1332" w:type="dxa"/>
            <w:vMerge/>
          </w:tcPr>
          <w:p w:rsidR="00990F46" w:rsidRPr="00923CE5" w:rsidRDefault="00990F46" w:rsidP="00586787">
            <w:pPr>
              <w:spacing w:afterLines="60" w:after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18" w:type="dxa"/>
          </w:tcPr>
          <w:p w:rsidR="00990F46" w:rsidRPr="00586787" w:rsidRDefault="00586787" w:rsidP="00586787">
            <w:pPr>
              <w:spacing w:afterLines="60" w:after="144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Tarif BPJS Kesehatan</w:t>
            </w:r>
          </w:p>
        </w:tc>
      </w:tr>
      <w:tr w:rsidR="00455D66" w:rsidRPr="00923CE5" w:rsidTr="00CA3C64">
        <w:trPr>
          <w:trHeight w:val="1621"/>
        </w:trPr>
        <w:tc>
          <w:tcPr>
            <w:tcW w:w="1332" w:type="dxa"/>
          </w:tcPr>
          <w:p w:rsidR="00455D66" w:rsidRPr="00923CE5" w:rsidRDefault="00455D66" w:rsidP="00586787">
            <w:pPr>
              <w:spacing w:afterLines="60" w:after="144"/>
              <w:rPr>
                <w:rFonts w:cstheme="minorHAnsi"/>
                <w:sz w:val="24"/>
                <w:szCs w:val="24"/>
              </w:rPr>
            </w:pPr>
            <w:proofErr w:type="spellStart"/>
            <w:r w:rsidRPr="00923CE5">
              <w:rPr>
                <w:rFonts w:cstheme="minorHAnsi"/>
                <w:sz w:val="24"/>
                <w:szCs w:val="24"/>
              </w:rPr>
              <w:t>Gambar</w:t>
            </w:r>
            <w:proofErr w:type="spellEnd"/>
          </w:p>
          <w:p w:rsidR="00455D66" w:rsidRPr="00923CE5" w:rsidRDefault="00455D66" w:rsidP="00586787">
            <w:pPr>
              <w:spacing w:afterLines="60" w:after="144"/>
              <w:rPr>
                <w:rFonts w:cstheme="minorHAnsi"/>
                <w:sz w:val="24"/>
                <w:szCs w:val="24"/>
              </w:rPr>
            </w:pPr>
            <w:r w:rsidRPr="00923CE5">
              <w:rPr>
                <w:rFonts w:cstheme="minorHAnsi"/>
                <w:i/>
                <w:sz w:val="24"/>
                <w:szCs w:val="24"/>
              </w:rPr>
              <w:t>(</w:t>
            </w:r>
            <w:proofErr w:type="spellStart"/>
            <w:r w:rsidRPr="00923CE5">
              <w:rPr>
                <w:rFonts w:cstheme="minorHAnsi"/>
                <w:i/>
                <w:sz w:val="24"/>
                <w:szCs w:val="24"/>
              </w:rPr>
              <w:t>nomor</w:t>
            </w:r>
            <w:proofErr w:type="spellEnd"/>
            <w:r w:rsidRPr="00923CE5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923CE5">
              <w:rPr>
                <w:rFonts w:cstheme="minorHAnsi"/>
                <w:i/>
                <w:sz w:val="24"/>
                <w:szCs w:val="24"/>
              </w:rPr>
              <w:t>keterangan</w:t>
            </w:r>
            <w:proofErr w:type="spellEnd"/>
            <w:r w:rsidRPr="00923CE5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923CE5">
              <w:rPr>
                <w:rFonts w:cstheme="minorHAnsi"/>
                <w:i/>
                <w:sz w:val="24"/>
                <w:szCs w:val="24"/>
              </w:rPr>
              <w:t>sumber</w:t>
            </w:r>
            <w:proofErr w:type="spellEnd"/>
            <w:r w:rsidRPr="00923CE5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8018" w:type="dxa"/>
          </w:tcPr>
          <w:p w:rsidR="00F0113B" w:rsidRDefault="00F0113B" w:rsidP="00586787">
            <w:pPr>
              <w:spacing w:afterLines="60" w:after="144"/>
              <w:rPr>
                <w:rFonts w:cstheme="minorHAnsi"/>
                <w:sz w:val="24"/>
                <w:szCs w:val="24"/>
                <w:lang w:val="id-ID"/>
              </w:rPr>
            </w:pPr>
            <w:r w:rsidRPr="00F0113B">
              <w:rPr>
                <w:rFonts w:cstheme="minorHAnsi"/>
                <w:sz w:val="24"/>
                <w:szCs w:val="24"/>
                <w:lang w:val="id-ID"/>
              </w:rPr>
              <w:t>01 Setuju Tarif BPJS Kesehatan Naik? (beritagar.id)</w:t>
            </w:r>
          </w:p>
          <w:p w:rsidR="00F0113B" w:rsidRDefault="00F0113B" w:rsidP="00F0113B">
            <w:pPr>
              <w:spacing w:afterLines="60" w:after="144"/>
              <w:rPr>
                <w:rFonts w:cstheme="minorHAnsi"/>
                <w:sz w:val="24"/>
                <w:szCs w:val="24"/>
                <w:lang w:val="id-ID"/>
              </w:rPr>
            </w:pPr>
            <w:r w:rsidRPr="00F0113B">
              <w:rPr>
                <w:rFonts w:cstheme="minorHAnsi"/>
                <w:sz w:val="24"/>
                <w:szCs w:val="24"/>
                <w:lang w:val="id-ID"/>
              </w:rPr>
              <w:t>0</w:t>
            </w: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bookmarkStart w:id="0" w:name="_GoBack"/>
            <w:bookmarkEnd w:id="0"/>
            <w:r w:rsidRPr="00F0113B">
              <w:rPr>
                <w:rFonts w:cstheme="minorHAnsi"/>
                <w:sz w:val="24"/>
                <w:szCs w:val="24"/>
                <w:lang w:val="id-ID"/>
              </w:rPr>
              <w:t xml:space="preserve"> BPJS Kesehatan akan mengalami kenaikan tarif</w:t>
            </w:r>
            <w:r>
              <w:rPr>
                <w:rFonts w:cstheme="minorHAnsi"/>
                <w:sz w:val="24"/>
                <w:szCs w:val="24"/>
                <w:lang w:val="id-ID"/>
              </w:rPr>
              <w:t xml:space="preserve"> mencapai 100%</w:t>
            </w:r>
            <w:r w:rsidRPr="00F0113B">
              <w:rPr>
                <w:rFonts w:cstheme="minorHAnsi"/>
                <w:sz w:val="24"/>
                <w:szCs w:val="24"/>
                <w:lang w:val="id-ID"/>
              </w:rPr>
              <w:t xml:space="preserve"> (marketeers.com)</w:t>
            </w:r>
          </w:p>
          <w:p w:rsidR="00F0113B" w:rsidRPr="00923CE5" w:rsidRDefault="00F0113B" w:rsidP="00586787">
            <w:pPr>
              <w:spacing w:afterLines="60" w:after="144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990F46" w:rsidRPr="00923CE5" w:rsidTr="00990F46">
        <w:tc>
          <w:tcPr>
            <w:tcW w:w="1332" w:type="dxa"/>
          </w:tcPr>
          <w:p w:rsidR="00990F46" w:rsidRPr="00923CE5" w:rsidRDefault="00990F46" w:rsidP="00586787">
            <w:pPr>
              <w:spacing w:afterLines="60" w:after="144"/>
              <w:rPr>
                <w:rFonts w:cstheme="minorHAnsi"/>
                <w:sz w:val="24"/>
                <w:szCs w:val="24"/>
              </w:rPr>
            </w:pPr>
            <w:r w:rsidRPr="00923CE5">
              <w:rPr>
                <w:rFonts w:cstheme="minorHAnsi"/>
                <w:sz w:val="24"/>
                <w:szCs w:val="24"/>
              </w:rPr>
              <w:t>Category</w:t>
            </w:r>
          </w:p>
        </w:tc>
        <w:tc>
          <w:tcPr>
            <w:tcW w:w="8018" w:type="dxa"/>
          </w:tcPr>
          <w:p w:rsidR="00990F46" w:rsidRPr="00923CE5" w:rsidRDefault="003030D8" w:rsidP="00586787">
            <w:pPr>
              <w:pBdr>
                <w:between w:val="single" w:sz="4" w:space="1" w:color="auto"/>
              </w:pBdr>
              <w:spacing w:afterLines="60" w:after="144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Berita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ini</w:t>
            </w:r>
            <w:proofErr w:type="spellEnd"/>
          </w:p>
        </w:tc>
      </w:tr>
      <w:tr w:rsidR="00990F46" w:rsidRPr="00923CE5" w:rsidTr="00990F46">
        <w:tc>
          <w:tcPr>
            <w:tcW w:w="1332" w:type="dxa"/>
          </w:tcPr>
          <w:p w:rsidR="00990F46" w:rsidRPr="00923CE5" w:rsidRDefault="00990F46" w:rsidP="00586787">
            <w:pPr>
              <w:spacing w:afterLines="60" w:after="144"/>
              <w:rPr>
                <w:rFonts w:cstheme="minorHAnsi"/>
                <w:sz w:val="24"/>
                <w:szCs w:val="24"/>
              </w:rPr>
            </w:pPr>
            <w:r w:rsidRPr="00923CE5">
              <w:rPr>
                <w:rFonts w:cstheme="minorHAnsi"/>
                <w:sz w:val="24"/>
                <w:szCs w:val="24"/>
              </w:rPr>
              <w:t>Tag</w:t>
            </w:r>
          </w:p>
        </w:tc>
        <w:tc>
          <w:tcPr>
            <w:tcW w:w="8018" w:type="dxa"/>
          </w:tcPr>
          <w:p w:rsidR="00990F46" w:rsidRPr="00586787" w:rsidRDefault="003030D8" w:rsidP="00586787">
            <w:pPr>
              <w:spacing w:afterLines="60" w:after="144"/>
              <w:rPr>
                <w:rFonts w:cstheme="minorHAnsi"/>
                <w:sz w:val="24"/>
                <w:szCs w:val="24"/>
                <w:lang w:val="id-ID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Berita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ini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 w:rsidR="00586787">
              <w:rPr>
                <w:rFonts w:cstheme="minorHAnsi"/>
                <w:sz w:val="24"/>
                <w:szCs w:val="24"/>
                <w:lang w:val="id-ID"/>
              </w:rPr>
              <w:t xml:space="preserve"> bpjs, bpjs kesehatan, tarif bpjs, tarif bpjs kesehatan, asuransi kesehatan</w:t>
            </w:r>
          </w:p>
        </w:tc>
      </w:tr>
      <w:tr w:rsidR="00990F46" w:rsidRPr="00923CE5" w:rsidTr="00990F46">
        <w:tc>
          <w:tcPr>
            <w:tcW w:w="1332" w:type="dxa"/>
          </w:tcPr>
          <w:p w:rsidR="00990F46" w:rsidRPr="00923CE5" w:rsidRDefault="00990F46" w:rsidP="00586787">
            <w:pPr>
              <w:spacing w:afterLines="60" w:after="144"/>
              <w:rPr>
                <w:rFonts w:cstheme="minorHAnsi"/>
                <w:sz w:val="24"/>
                <w:szCs w:val="24"/>
                <w:lang w:val="id-ID"/>
              </w:rPr>
            </w:pPr>
            <w:r w:rsidRPr="00923CE5">
              <w:rPr>
                <w:rFonts w:cstheme="minorHAnsi"/>
                <w:sz w:val="24"/>
                <w:szCs w:val="24"/>
                <w:lang w:val="id-ID"/>
              </w:rPr>
              <w:t>Body</w:t>
            </w:r>
          </w:p>
        </w:tc>
        <w:tc>
          <w:tcPr>
            <w:tcW w:w="8018" w:type="dxa"/>
          </w:tcPr>
          <w:p w:rsidR="002026D4" w:rsidRDefault="002026D4" w:rsidP="002026D4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Tarif BPJS Kesehatan diwacanakan akan mengalami kenaikan, ditengah terpaan </w:t>
            </w:r>
            <w:r w:rsidR="00DD075B">
              <w:rPr>
                <w:sz w:val="24"/>
                <w:lang w:val="id-ID"/>
              </w:rPr>
              <w:fldChar w:fldCharType="begin"/>
            </w:r>
            <w:r w:rsidR="00DD075B">
              <w:rPr>
                <w:sz w:val="24"/>
                <w:lang w:val="id-ID"/>
              </w:rPr>
              <w:instrText xml:space="preserve"> HYPERLINK "https://djawanews.com/berita-hari-ini/defisit-bpjs-kesehatan-diprediksi-bakal-membengkak-rp-500-miliar-di-tahun-ini/" </w:instrText>
            </w:r>
            <w:r w:rsidR="00DD075B">
              <w:rPr>
                <w:sz w:val="24"/>
                <w:lang w:val="id-ID"/>
              </w:rPr>
            </w:r>
            <w:r w:rsidR="00DD075B">
              <w:rPr>
                <w:sz w:val="24"/>
                <w:lang w:val="id-ID"/>
              </w:rPr>
              <w:fldChar w:fldCharType="separate"/>
            </w:r>
            <w:r w:rsidRPr="00DD075B">
              <w:rPr>
                <w:rStyle w:val="Hyperlink"/>
                <w:sz w:val="24"/>
                <w:lang w:val="id-ID"/>
              </w:rPr>
              <w:t>defisit anggaran</w:t>
            </w:r>
            <w:r w:rsidR="00DD075B">
              <w:rPr>
                <w:sz w:val="24"/>
                <w:lang w:val="id-ID"/>
              </w:rPr>
              <w:fldChar w:fldCharType="end"/>
            </w:r>
            <w:r>
              <w:rPr>
                <w:sz w:val="24"/>
                <w:lang w:val="id-ID"/>
              </w:rPr>
              <w:t xml:space="preserve"> asuransi plat merah tersebut. Lantas apakah kenaikan tarif adalah solusi ketika masyarakat belum sadar akan pentingnya asuransi kesehatan?</w:t>
            </w:r>
          </w:p>
          <w:p w:rsidR="002026D4" w:rsidRDefault="002026D4" w:rsidP="002026D4">
            <w:pPr>
              <w:rPr>
                <w:sz w:val="24"/>
                <w:lang w:val="id-ID"/>
              </w:rPr>
            </w:pPr>
          </w:p>
          <w:p w:rsidR="002026D4" w:rsidRPr="002026D4" w:rsidRDefault="002026D4" w:rsidP="002026D4">
            <w:pPr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Tarif BPJS Kesehatan Naik, Bijakkah?</w:t>
            </w:r>
          </w:p>
          <w:p w:rsidR="002026D4" w:rsidRDefault="002026D4" w:rsidP="002026D4">
            <w:pPr>
              <w:rPr>
                <w:sz w:val="24"/>
                <w:lang w:val="id-ID"/>
              </w:rPr>
            </w:pPr>
          </w:p>
          <w:p w:rsidR="002026D4" w:rsidRDefault="002026D4" w:rsidP="002026D4">
            <w:pPr>
              <w:rPr>
                <w:sz w:val="24"/>
                <w:lang w:val="id-ID"/>
              </w:rPr>
            </w:pPr>
            <w:proofErr w:type="spellStart"/>
            <w:r w:rsidRPr="002026D4">
              <w:rPr>
                <w:sz w:val="24"/>
              </w:rPr>
              <w:t>Kementerian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Keuangan</w:t>
            </w:r>
            <w:proofErr w:type="spellEnd"/>
            <w:r w:rsidRPr="002026D4">
              <w:rPr>
                <w:sz w:val="24"/>
              </w:rPr>
              <w:t xml:space="preserve"> (</w:t>
            </w:r>
            <w:proofErr w:type="spellStart"/>
            <w:r w:rsidRPr="002026D4">
              <w:rPr>
                <w:sz w:val="24"/>
              </w:rPr>
              <w:t>Kemenkeu</w:t>
            </w:r>
            <w:proofErr w:type="spellEnd"/>
            <w:r w:rsidRPr="002026D4">
              <w:rPr>
                <w:sz w:val="24"/>
              </w:rPr>
              <w:t>) </w:t>
            </w:r>
            <w:r>
              <w:rPr>
                <w:sz w:val="24"/>
                <w:lang w:val="id-ID"/>
              </w:rPr>
              <w:t xml:space="preserve">beberapa waktu ini </w:t>
            </w:r>
            <w:proofErr w:type="spellStart"/>
            <w:r w:rsidRPr="002026D4">
              <w:rPr>
                <w:sz w:val="24"/>
              </w:rPr>
              <w:t>menyebut</w:t>
            </w:r>
            <w:proofErr w:type="spellEnd"/>
            <w:r w:rsidRPr="002026D4">
              <w:rPr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 xml:space="preserve">jika </w:t>
            </w:r>
            <w:r w:rsidRPr="002026D4">
              <w:rPr>
                <w:sz w:val="24"/>
              </w:rPr>
              <w:t xml:space="preserve">BPJS </w:t>
            </w:r>
            <w:proofErr w:type="spellStart"/>
            <w:r w:rsidRPr="002026D4">
              <w:rPr>
                <w:sz w:val="24"/>
              </w:rPr>
              <w:t>Kesehatan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berpotensi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defisit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hingga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32</w:t>
            </w:r>
            <w:proofErr w:type="gramStart"/>
            <w:r w:rsidRPr="002026D4">
              <w:rPr>
                <w:sz w:val="24"/>
              </w:rPr>
              <w:t>,8</w:t>
            </w:r>
            <w:proofErr w:type="gram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triliun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pada</w:t>
            </w:r>
            <w:proofErr w:type="spellEnd"/>
            <w:r w:rsidRPr="002026D4">
              <w:rPr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>2019</w:t>
            </w:r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ini</w:t>
            </w:r>
            <w:proofErr w:type="spellEnd"/>
            <w:r w:rsidRPr="002026D4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 xml:space="preserve">Angka tersebut didapatkan </w:t>
            </w:r>
            <w:proofErr w:type="spellStart"/>
            <w:r w:rsidRPr="002026D4">
              <w:rPr>
                <w:sz w:val="24"/>
              </w:rPr>
              <w:t>Menteri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Keuangan</w:t>
            </w:r>
            <w:proofErr w:type="spellEnd"/>
            <w:r w:rsidRPr="002026D4">
              <w:rPr>
                <w:sz w:val="24"/>
              </w:rPr>
              <w:t xml:space="preserve"> Sri </w:t>
            </w:r>
            <w:proofErr w:type="spellStart"/>
            <w:r w:rsidRPr="002026D4">
              <w:rPr>
                <w:sz w:val="24"/>
              </w:rPr>
              <w:t>Mulyani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Indrawati</w:t>
            </w:r>
            <w:proofErr w:type="spellEnd"/>
            <w:r>
              <w:rPr>
                <w:sz w:val="24"/>
                <w:lang w:val="id-ID"/>
              </w:rPr>
              <w:t xml:space="preserve"> mengacu pada</w:t>
            </w:r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laporan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dari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Dewan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Jaminan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Sosial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Nasional</w:t>
            </w:r>
            <w:proofErr w:type="spellEnd"/>
            <w:r w:rsidRPr="002026D4">
              <w:rPr>
                <w:sz w:val="24"/>
              </w:rPr>
              <w:t xml:space="preserve"> (DJSN)</w:t>
            </w:r>
            <w:r>
              <w:rPr>
                <w:sz w:val="24"/>
                <w:lang w:val="id-ID"/>
              </w:rPr>
              <w:t>.</w:t>
            </w:r>
          </w:p>
          <w:p w:rsidR="002026D4" w:rsidRDefault="002026D4" w:rsidP="002026D4">
            <w:pPr>
              <w:rPr>
                <w:sz w:val="24"/>
                <w:lang w:val="id-ID"/>
              </w:rPr>
            </w:pPr>
          </w:p>
          <w:p w:rsidR="002026D4" w:rsidRDefault="002026D4" w:rsidP="002026D4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Perlu diketahui, </w:t>
            </w:r>
            <w:r w:rsidRPr="002026D4">
              <w:rPr>
                <w:sz w:val="24"/>
              </w:rPr>
              <w:t>DJSN</w:t>
            </w:r>
            <w:r>
              <w:rPr>
                <w:sz w:val="24"/>
                <w:lang w:val="id-ID"/>
              </w:rPr>
              <w:t xml:space="preserve"> merupakan</w:t>
            </w:r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pengawas</w:t>
            </w:r>
            <w:proofErr w:type="spellEnd"/>
            <w:r w:rsidRPr="002026D4">
              <w:rPr>
                <w:sz w:val="24"/>
              </w:rPr>
              <w:t xml:space="preserve"> </w:t>
            </w:r>
            <w:hyperlink r:id="rId7" w:history="1">
              <w:r w:rsidRPr="00DD075B">
                <w:rPr>
                  <w:rStyle w:val="Hyperlink"/>
                  <w:sz w:val="24"/>
                </w:rPr>
                <w:t xml:space="preserve">BPJS </w:t>
              </w:r>
              <w:proofErr w:type="spellStart"/>
              <w:r w:rsidRPr="00DD075B">
                <w:rPr>
                  <w:rStyle w:val="Hyperlink"/>
                  <w:sz w:val="24"/>
                </w:rPr>
                <w:t>Kesehatan</w:t>
              </w:r>
              <w:proofErr w:type="spellEnd"/>
            </w:hyperlink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dalam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Rencana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Kegiatan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Anggaran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dan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Tahunan</w:t>
            </w:r>
            <w:proofErr w:type="spellEnd"/>
            <w:r w:rsidRPr="002026D4">
              <w:rPr>
                <w:sz w:val="24"/>
              </w:rPr>
              <w:t xml:space="preserve"> (RKAT).</w:t>
            </w:r>
            <w:r>
              <w:rPr>
                <w:sz w:val="24"/>
                <w:lang w:val="id-ID"/>
              </w:rPr>
              <w:t xml:space="preserve"> D</w:t>
            </w:r>
            <w:proofErr w:type="spellStart"/>
            <w:r w:rsidRPr="002026D4">
              <w:rPr>
                <w:sz w:val="24"/>
              </w:rPr>
              <w:t>efisit</w:t>
            </w:r>
            <w:proofErr w:type="spellEnd"/>
            <w:r w:rsidRPr="002026D4">
              <w:rPr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 xml:space="preserve">tersebut dapat </w:t>
            </w:r>
            <w:proofErr w:type="spellStart"/>
            <w:r w:rsidRPr="002026D4">
              <w:rPr>
                <w:sz w:val="24"/>
              </w:rPr>
              <w:t>ditekan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hingga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14 </w:t>
            </w:r>
            <w:proofErr w:type="spellStart"/>
            <w:r w:rsidRPr="002026D4">
              <w:rPr>
                <w:sz w:val="24"/>
              </w:rPr>
              <w:t>triliun</w:t>
            </w:r>
            <w:proofErr w:type="spellEnd"/>
            <w:r>
              <w:rPr>
                <w:sz w:val="24"/>
                <w:lang w:val="id-ID"/>
              </w:rPr>
              <w:t>,</w:t>
            </w:r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jika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iuran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peserta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Penerima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Bantuan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Iuran</w:t>
            </w:r>
            <w:proofErr w:type="spellEnd"/>
            <w:r w:rsidRPr="002026D4">
              <w:rPr>
                <w:sz w:val="24"/>
              </w:rPr>
              <w:t xml:space="preserve"> (PBI) </w:t>
            </w:r>
            <w:proofErr w:type="spellStart"/>
            <w:r w:rsidRPr="002026D4">
              <w:rPr>
                <w:sz w:val="24"/>
              </w:rPr>
              <w:t>naik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mulai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Agustus</w:t>
            </w:r>
            <w:proofErr w:type="spellEnd"/>
            <w:r w:rsidRPr="002026D4">
              <w:rPr>
                <w:sz w:val="24"/>
              </w:rPr>
              <w:t xml:space="preserve"> 2019.</w:t>
            </w:r>
            <w:r w:rsidRPr="002026D4">
              <w:rPr>
                <w:sz w:val="24"/>
              </w:rPr>
              <w:br/>
            </w:r>
            <w:r w:rsidRPr="002026D4">
              <w:rPr>
                <w:sz w:val="24"/>
              </w:rPr>
              <w:br/>
            </w:r>
            <w:r w:rsidR="00103323">
              <w:rPr>
                <w:sz w:val="24"/>
                <w:lang w:val="id-ID"/>
              </w:rPr>
              <w:t>Dilansir dari CNBC Indonesia (28/8/2019), berikut ini kedua s</w:t>
            </w:r>
            <w:r>
              <w:rPr>
                <w:sz w:val="24"/>
                <w:lang w:val="id-ID"/>
              </w:rPr>
              <w:t>kema kenaikan iuran</w:t>
            </w:r>
            <w:r w:rsidR="00103323">
              <w:rPr>
                <w:sz w:val="24"/>
                <w:lang w:val="id-ID"/>
              </w:rPr>
              <w:t xml:space="preserve"> yang diajukan. P</w:t>
            </w:r>
            <w:r>
              <w:rPr>
                <w:sz w:val="24"/>
                <w:lang w:val="id-ID"/>
              </w:rPr>
              <w:t xml:space="preserve">ertama </w:t>
            </w:r>
            <w:r w:rsidR="00103323">
              <w:rPr>
                <w:sz w:val="24"/>
                <w:lang w:val="id-ID"/>
              </w:rPr>
              <w:t>adalah skema kenaikan</w:t>
            </w:r>
            <w:r>
              <w:rPr>
                <w:sz w:val="24"/>
                <w:lang w:val="id-ID"/>
              </w:rPr>
              <w:t xml:space="preserve"> oleh </w:t>
            </w:r>
            <w:r>
              <w:rPr>
                <w:sz w:val="24"/>
              </w:rPr>
              <w:t>DJSN</w:t>
            </w:r>
            <w:r>
              <w:rPr>
                <w:sz w:val="24"/>
                <w:lang w:val="id-ID"/>
              </w:rPr>
              <w:t>:</w:t>
            </w:r>
          </w:p>
          <w:p w:rsidR="002026D4" w:rsidRPr="002026D4" w:rsidRDefault="002026D4" w:rsidP="002026D4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proofErr w:type="spellStart"/>
            <w:r w:rsidRPr="002026D4">
              <w:rPr>
                <w:sz w:val="24"/>
              </w:rPr>
              <w:t>Iuran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penerima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bantuan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iuran</w:t>
            </w:r>
            <w:proofErr w:type="spellEnd"/>
            <w:r w:rsidRPr="002026D4">
              <w:rPr>
                <w:sz w:val="24"/>
              </w:rPr>
              <w:t xml:space="preserve"> (PBI) :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42.000 (</w:t>
            </w:r>
            <w:r>
              <w:rPr>
                <w:sz w:val="24"/>
                <w:lang w:val="id-ID"/>
              </w:rPr>
              <w:t xml:space="preserve">dari </w:t>
            </w:r>
            <w:proofErr w:type="spellStart"/>
            <w:r w:rsidRPr="002026D4">
              <w:rPr>
                <w:sz w:val="24"/>
              </w:rPr>
              <w:t>sebelumnya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23.000)</w:t>
            </w:r>
          </w:p>
          <w:p w:rsidR="002026D4" w:rsidRPr="002026D4" w:rsidRDefault="002026D4" w:rsidP="002026D4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Iuran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peserta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penerima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upah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proofErr w:type="spellStart"/>
            <w:r w:rsidRPr="002026D4">
              <w:rPr>
                <w:sz w:val="24"/>
              </w:rPr>
              <w:t>Badan</w:t>
            </w:r>
            <w:proofErr w:type="spellEnd"/>
            <w:r w:rsidRPr="002026D4">
              <w:rPr>
                <w:sz w:val="24"/>
              </w:rPr>
              <w:t xml:space="preserve"> Usaha : 5% </w:t>
            </w:r>
            <w:proofErr w:type="spellStart"/>
            <w:r w:rsidRPr="002026D4">
              <w:rPr>
                <w:sz w:val="24"/>
              </w:rPr>
              <w:t>dengan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batas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atas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upah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12 </w:t>
            </w:r>
            <w:proofErr w:type="spellStart"/>
            <w:r w:rsidRPr="002026D4">
              <w:rPr>
                <w:sz w:val="24"/>
              </w:rPr>
              <w:t>juta</w:t>
            </w:r>
            <w:proofErr w:type="spellEnd"/>
            <w:r w:rsidRPr="002026D4">
              <w:rPr>
                <w:sz w:val="24"/>
              </w:rPr>
              <w:t xml:space="preserve"> (</w:t>
            </w:r>
            <w:proofErr w:type="spellStart"/>
            <w:r w:rsidRPr="002026D4">
              <w:rPr>
                <w:sz w:val="24"/>
              </w:rPr>
              <w:t>sebelumnya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8 </w:t>
            </w:r>
            <w:proofErr w:type="spellStart"/>
            <w:r w:rsidRPr="002026D4">
              <w:rPr>
                <w:sz w:val="24"/>
              </w:rPr>
              <w:t>juta</w:t>
            </w:r>
            <w:proofErr w:type="spellEnd"/>
            <w:r w:rsidRPr="002026D4">
              <w:rPr>
                <w:sz w:val="24"/>
              </w:rPr>
              <w:t>)</w:t>
            </w:r>
          </w:p>
          <w:p w:rsidR="002026D4" w:rsidRPr="002026D4" w:rsidRDefault="002026D4" w:rsidP="002026D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2026D4">
              <w:rPr>
                <w:sz w:val="24"/>
              </w:rPr>
              <w:t>Iuran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peserta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penerima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upah</w:t>
            </w:r>
            <w:proofErr w:type="spellEnd"/>
            <w:r w:rsidRPr="002026D4">
              <w:rPr>
                <w:sz w:val="24"/>
              </w:rPr>
              <w:t xml:space="preserve"> - </w:t>
            </w:r>
            <w:proofErr w:type="spellStart"/>
            <w:r w:rsidRPr="002026D4">
              <w:rPr>
                <w:sz w:val="24"/>
              </w:rPr>
              <w:t>Pemerintah</w:t>
            </w:r>
            <w:proofErr w:type="spellEnd"/>
            <w:r w:rsidRPr="002026D4">
              <w:rPr>
                <w:sz w:val="24"/>
              </w:rPr>
              <w:t xml:space="preserve"> : 5% </w:t>
            </w:r>
            <w:proofErr w:type="spellStart"/>
            <w:r w:rsidRPr="002026D4">
              <w:rPr>
                <w:sz w:val="24"/>
              </w:rPr>
              <w:t>dari</w:t>
            </w:r>
            <w:proofErr w:type="spellEnd"/>
            <w:r w:rsidRPr="002026D4">
              <w:rPr>
                <w:sz w:val="24"/>
              </w:rPr>
              <w:t xml:space="preserve"> take home pay (</w:t>
            </w:r>
            <w:proofErr w:type="spellStart"/>
            <w:r w:rsidRPr="002026D4">
              <w:rPr>
                <w:sz w:val="24"/>
              </w:rPr>
              <w:t>sebelumnya</w:t>
            </w:r>
            <w:proofErr w:type="spellEnd"/>
            <w:r w:rsidRPr="002026D4">
              <w:rPr>
                <w:sz w:val="24"/>
              </w:rPr>
              <w:t xml:space="preserve"> 5% </w:t>
            </w:r>
            <w:proofErr w:type="spellStart"/>
            <w:r w:rsidRPr="002026D4">
              <w:rPr>
                <w:sz w:val="24"/>
              </w:rPr>
              <w:t>dari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gaji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pokok</w:t>
            </w:r>
            <w:proofErr w:type="spellEnd"/>
            <w:r w:rsidRPr="002026D4">
              <w:rPr>
                <w:sz w:val="24"/>
              </w:rPr>
              <w:t xml:space="preserve"> + </w:t>
            </w:r>
            <w:proofErr w:type="spellStart"/>
            <w:r w:rsidRPr="002026D4">
              <w:rPr>
                <w:sz w:val="24"/>
              </w:rPr>
              <w:t>tunjangan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keluarga</w:t>
            </w:r>
            <w:proofErr w:type="spellEnd"/>
            <w:r w:rsidRPr="002026D4">
              <w:rPr>
                <w:sz w:val="24"/>
              </w:rPr>
              <w:t>)</w:t>
            </w:r>
          </w:p>
          <w:p w:rsidR="002026D4" w:rsidRPr="002026D4" w:rsidRDefault="002026D4" w:rsidP="002026D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2026D4">
              <w:rPr>
                <w:sz w:val="24"/>
              </w:rPr>
              <w:t>Iuran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peserta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bukan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penerima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upah</w:t>
            </w:r>
            <w:proofErr w:type="spellEnd"/>
            <w:r w:rsidRPr="002026D4">
              <w:rPr>
                <w:sz w:val="24"/>
              </w:rPr>
              <w:t xml:space="preserve"> :</w:t>
            </w:r>
            <w:r w:rsidRPr="002026D4">
              <w:rPr>
                <w:rFonts w:hint="eastAsia"/>
                <w:sz w:val="24"/>
              </w:rPr>
              <w:t> </w:t>
            </w:r>
            <w:r w:rsidRPr="002026D4">
              <w:rPr>
                <w:sz w:val="24"/>
              </w:rPr>
              <w:t xml:space="preserve">a. </w:t>
            </w:r>
            <w:proofErr w:type="spellStart"/>
            <w:r w:rsidRPr="002026D4">
              <w:rPr>
                <w:sz w:val="24"/>
              </w:rPr>
              <w:t>Kelas</w:t>
            </w:r>
            <w:proofErr w:type="spellEnd"/>
            <w:r w:rsidRPr="002026D4">
              <w:rPr>
                <w:sz w:val="24"/>
              </w:rPr>
              <w:t xml:space="preserve"> 1 :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120.000 (</w:t>
            </w:r>
            <w:proofErr w:type="spellStart"/>
            <w:r w:rsidRPr="002026D4">
              <w:rPr>
                <w:sz w:val="24"/>
              </w:rPr>
              <w:t>sebelumnya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80.000)</w:t>
            </w:r>
            <w:r w:rsidRPr="002026D4">
              <w:rPr>
                <w:rFonts w:hint="eastAsia"/>
                <w:sz w:val="24"/>
              </w:rPr>
              <w:t> </w:t>
            </w:r>
            <w:r w:rsidRPr="002026D4">
              <w:rPr>
                <w:sz w:val="24"/>
              </w:rPr>
              <w:t xml:space="preserve">b. </w:t>
            </w:r>
            <w:proofErr w:type="spellStart"/>
            <w:r w:rsidRPr="002026D4">
              <w:rPr>
                <w:sz w:val="24"/>
              </w:rPr>
              <w:t>Kelas</w:t>
            </w:r>
            <w:proofErr w:type="spellEnd"/>
            <w:r w:rsidRPr="002026D4">
              <w:rPr>
                <w:sz w:val="24"/>
              </w:rPr>
              <w:t xml:space="preserve"> 2 :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75.000 (</w:t>
            </w:r>
            <w:proofErr w:type="spellStart"/>
            <w:r w:rsidRPr="002026D4">
              <w:rPr>
                <w:sz w:val="24"/>
              </w:rPr>
              <w:t>sebelumnya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51.000)</w:t>
            </w:r>
            <w:r w:rsidRPr="002026D4">
              <w:rPr>
                <w:rFonts w:hint="eastAsia"/>
                <w:sz w:val="24"/>
              </w:rPr>
              <w:t> </w:t>
            </w:r>
            <w:r w:rsidRPr="002026D4">
              <w:rPr>
                <w:sz w:val="24"/>
              </w:rPr>
              <w:t xml:space="preserve">c. </w:t>
            </w:r>
            <w:proofErr w:type="spellStart"/>
            <w:r w:rsidRPr="002026D4">
              <w:rPr>
                <w:sz w:val="24"/>
              </w:rPr>
              <w:t>Kelas</w:t>
            </w:r>
            <w:proofErr w:type="spellEnd"/>
            <w:r w:rsidRPr="002026D4">
              <w:rPr>
                <w:sz w:val="24"/>
              </w:rPr>
              <w:t xml:space="preserve"> 3 :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42.000 (</w:t>
            </w:r>
            <w:proofErr w:type="spellStart"/>
            <w:r w:rsidRPr="002026D4">
              <w:rPr>
                <w:sz w:val="24"/>
              </w:rPr>
              <w:t>sebelumnya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25.500)</w:t>
            </w:r>
          </w:p>
          <w:p w:rsidR="002026D4" w:rsidRDefault="002026D4" w:rsidP="002026D4">
            <w:pPr>
              <w:rPr>
                <w:sz w:val="24"/>
                <w:lang w:val="id-ID"/>
              </w:rPr>
            </w:pPr>
            <w:r w:rsidRPr="002026D4">
              <w:rPr>
                <w:sz w:val="24"/>
              </w:rPr>
              <w:lastRenderedPageBreak/>
              <w:br/>
            </w:r>
            <w:r>
              <w:rPr>
                <w:sz w:val="24"/>
                <w:lang w:val="id-ID"/>
              </w:rPr>
              <w:t xml:space="preserve">Kedua adalah </w:t>
            </w:r>
            <w:proofErr w:type="spellStart"/>
            <w:r w:rsidRPr="002026D4">
              <w:rPr>
                <w:sz w:val="24"/>
              </w:rPr>
              <w:t>skema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kenaikan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iuran</w:t>
            </w:r>
            <w:proofErr w:type="spellEnd"/>
            <w:r>
              <w:rPr>
                <w:sz w:val="24"/>
                <w:lang w:val="id-ID"/>
              </w:rPr>
              <w:t xml:space="preserve"> yang diajukan</w:t>
            </w:r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Kementerian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Keuangan</w:t>
            </w:r>
            <w:proofErr w:type="spellEnd"/>
            <w:r>
              <w:rPr>
                <w:sz w:val="24"/>
                <w:lang w:val="id-ID"/>
              </w:rPr>
              <w:t>, adalah sebagai berikut</w:t>
            </w:r>
            <w:r w:rsidRPr="002026D4">
              <w:rPr>
                <w:sz w:val="24"/>
              </w:rPr>
              <w:t>:</w:t>
            </w:r>
          </w:p>
          <w:p w:rsidR="002026D4" w:rsidRPr="002026D4" w:rsidRDefault="002026D4" w:rsidP="002026D4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proofErr w:type="spellStart"/>
            <w:r w:rsidRPr="002026D4">
              <w:rPr>
                <w:sz w:val="24"/>
              </w:rPr>
              <w:t>Iuran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penerima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bantuan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iuran</w:t>
            </w:r>
            <w:proofErr w:type="spellEnd"/>
            <w:r w:rsidRPr="002026D4">
              <w:rPr>
                <w:sz w:val="24"/>
              </w:rPr>
              <w:t xml:space="preserve"> (PBI) :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42.000 (</w:t>
            </w:r>
            <w:proofErr w:type="spellStart"/>
            <w:r w:rsidRPr="002026D4">
              <w:rPr>
                <w:sz w:val="24"/>
              </w:rPr>
              <w:t>sebelumnya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23.000)</w:t>
            </w:r>
          </w:p>
          <w:p w:rsidR="002026D4" w:rsidRPr="002026D4" w:rsidRDefault="002026D4" w:rsidP="002026D4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proofErr w:type="spellStart"/>
            <w:r w:rsidRPr="002026D4">
              <w:rPr>
                <w:sz w:val="24"/>
              </w:rPr>
              <w:t>Iuran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peserta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penerima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upah</w:t>
            </w:r>
            <w:proofErr w:type="spellEnd"/>
            <w:r w:rsidRPr="002026D4">
              <w:rPr>
                <w:sz w:val="24"/>
              </w:rPr>
              <w:t xml:space="preserve"> - </w:t>
            </w:r>
            <w:proofErr w:type="spellStart"/>
            <w:r w:rsidRPr="002026D4">
              <w:rPr>
                <w:sz w:val="24"/>
              </w:rPr>
              <w:t>Badan</w:t>
            </w:r>
            <w:proofErr w:type="spellEnd"/>
            <w:r w:rsidRPr="002026D4">
              <w:rPr>
                <w:sz w:val="24"/>
              </w:rPr>
              <w:t xml:space="preserve"> Usaha : 5% </w:t>
            </w:r>
            <w:proofErr w:type="spellStart"/>
            <w:r w:rsidRPr="002026D4">
              <w:rPr>
                <w:sz w:val="24"/>
              </w:rPr>
              <w:t>dengan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batas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atas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upah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12 </w:t>
            </w:r>
            <w:proofErr w:type="spellStart"/>
            <w:r w:rsidRPr="002026D4">
              <w:rPr>
                <w:sz w:val="24"/>
              </w:rPr>
              <w:t>juta</w:t>
            </w:r>
            <w:proofErr w:type="spellEnd"/>
            <w:r w:rsidRPr="002026D4">
              <w:rPr>
                <w:sz w:val="24"/>
              </w:rPr>
              <w:t xml:space="preserve"> (</w:t>
            </w:r>
            <w:proofErr w:type="spellStart"/>
            <w:r w:rsidRPr="002026D4">
              <w:rPr>
                <w:sz w:val="24"/>
              </w:rPr>
              <w:t>sebelumnya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8 </w:t>
            </w:r>
            <w:proofErr w:type="spellStart"/>
            <w:r w:rsidRPr="002026D4">
              <w:rPr>
                <w:sz w:val="24"/>
              </w:rPr>
              <w:t>juta</w:t>
            </w:r>
            <w:proofErr w:type="spellEnd"/>
            <w:r w:rsidRPr="002026D4">
              <w:rPr>
                <w:sz w:val="24"/>
              </w:rPr>
              <w:t>)</w:t>
            </w:r>
          </w:p>
          <w:p w:rsidR="002026D4" w:rsidRPr="002026D4" w:rsidRDefault="002026D4" w:rsidP="002026D4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proofErr w:type="spellStart"/>
            <w:r w:rsidRPr="002026D4">
              <w:rPr>
                <w:sz w:val="24"/>
              </w:rPr>
              <w:t>Iuran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peserta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penerima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upah</w:t>
            </w:r>
            <w:proofErr w:type="spellEnd"/>
            <w:r w:rsidRPr="002026D4">
              <w:rPr>
                <w:sz w:val="24"/>
              </w:rPr>
              <w:t xml:space="preserve"> - </w:t>
            </w:r>
            <w:proofErr w:type="spellStart"/>
            <w:r w:rsidRPr="002026D4">
              <w:rPr>
                <w:sz w:val="24"/>
              </w:rPr>
              <w:t>Pemerintah</w:t>
            </w:r>
            <w:proofErr w:type="spellEnd"/>
            <w:r w:rsidRPr="002026D4">
              <w:rPr>
                <w:sz w:val="24"/>
              </w:rPr>
              <w:t xml:space="preserve"> : 5% </w:t>
            </w:r>
            <w:proofErr w:type="spellStart"/>
            <w:r w:rsidRPr="002026D4">
              <w:rPr>
                <w:sz w:val="24"/>
              </w:rPr>
              <w:t>dari</w:t>
            </w:r>
            <w:proofErr w:type="spellEnd"/>
            <w:r w:rsidRPr="002026D4">
              <w:rPr>
                <w:sz w:val="24"/>
              </w:rPr>
              <w:t xml:space="preserve"> take home pay (</w:t>
            </w:r>
            <w:proofErr w:type="spellStart"/>
            <w:r w:rsidRPr="002026D4">
              <w:rPr>
                <w:sz w:val="24"/>
              </w:rPr>
              <w:t>sebelumnya</w:t>
            </w:r>
            <w:proofErr w:type="spellEnd"/>
            <w:r w:rsidRPr="002026D4">
              <w:rPr>
                <w:sz w:val="24"/>
              </w:rPr>
              <w:t xml:space="preserve"> 5% </w:t>
            </w:r>
            <w:proofErr w:type="spellStart"/>
            <w:r w:rsidRPr="002026D4">
              <w:rPr>
                <w:sz w:val="24"/>
              </w:rPr>
              <w:t>dari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gaji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pokok</w:t>
            </w:r>
            <w:proofErr w:type="spellEnd"/>
            <w:r w:rsidRPr="002026D4">
              <w:rPr>
                <w:sz w:val="24"/>
              </w:rPr>
              <w:t xml:space="preserve"> + </w:t>
            </w:r>
            <w:proofErr w:type="spellStart"/>
            <w:r w:rsidRPr="002026D4">
              <w:rPr>
                <w:sz w:val="24"/>
              </w:rPr>
              <w:t>tunjangan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keluarga</w:t>
            </w:r>
            <w:proofErr w:type="spellEnd"/>
            <w:r w:rsidRPr="002026D4">
              <w:rPr>
                <w:sz w:val="24"/>
              </w:rPr>
              <w:t>)</w:t>
            </w:r>
          </w:p>
          <w:p w:rsidR="002026D4" w:rsidRPr="002026D4" w:rsidRDefault="002026D4" w:rsidP="002026D4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proofErr w:type="spellStart"/>
            <w:r w:rsidRPr="002026D4">
              <w:rPr>
                <w:sz w:val="24"/>
              </w:rPr>
              <w:t>Iuran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peserta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bukan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penerima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upah</w:t>
            </w:r>
            <w:proofErr w:type="spellEnd"/>
            <w:r w:rsidRPr="002026D4">
              <w:rPr>
                <w:sz w:val="24"/>
              </w:rPr>
              <w:t xml:space="preserve"> :</w:t>
            </w:r>
            <w:r w:rsidRPr="002026D4">
              <w:rPr>
                <w:rFonts w:hint="eastAsia"/>
                <w:sz w:val="24"/>
              </w:rPr>
              <w:t> </w:t>
            </w:r>
            <w:r w:rsidRPr="002026D4">
              <w:rPr>
                <w:sz w:val="24"/>
              </w:rPr>
              <w:t xml:space="preserve">a. </w:t>
            </w:r>
            <w:proofErr w:type="spellStart"/>
            <w:r w:rsidRPr="002026D4">
              <w:rPr>
                <w:sz w:val="24"/>
              </w:rPr>
              <w:t>Kelas</w:t>
            </w:r>
            <w:proofErr w:type="spellEnd"/>
            <w:r w:rsidRPr="002026D4">
              <w:rPr>
                <w:sz w:val="24"/>
              </w:rPr>
              <w:t xml:space="preserve"> 1 :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160.000 (</w:t>
            </w:r>
            <w:proofErr w:type="spellStart"/>
            <w:r w:rsidRPr="002026D4">
              <w:rPr>
                <w:sz w:val="24"/>
              </w:rPr>
              <w:t>sebelumnya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80.000)</w:t>
            </w:r>
            <w:r w:rsidRPr="002026D4">
              <w:rPr>
                <w:rFonts w:hint="eastAsia"/>
                <w:sz w:val="24"/>
              </w:rPr>
              <w:t> </w:t>
            </w:r>
            <w:r w:rsidRPr="002026D4">
              <w:rPr>
                <w:sz w:val="24"/>
              </w:rPr>
              <w:t xml:space="preserve">b. </w:t>
            </w:r>
            <w:proofErr w:type="spellStart"/>
            <w:r w:rsidRPr="002026D4">
              <w:rPr>
                <w:sz w:val="24"/>
              </w:rPr>
              <w:t>Kelas</w:t>
            </w:r>
            <w:proofErr w:type="spellEnd"/>
            <w:r w:rsidRPr="002026D4">
              <w:rPr>
                <w:sz w:val="24"/>
              </w:rPr>
              <w:t xml:space="preserve"> 2 :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110.000 (</w:t>
            </w:r>
            <w:proofErr w:type="spellStart"/>
            <w:r w:rsidRPr="002026D4">
              <w:rPr>
                <w:sz w:val="24"/>
              </w:rPr>
              <w:t>sebelumnya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51.000)</w:t>
            </w:r>
            <w:r w:rsidRPr="002026D4">
              <w:rPr>
                <w:rFonts w:hint="eastAsia"/>
                <w:sz w:val="24"/>
              </w:rPr>
              <w:t> </w:t>
            </w:r>
            <w:r w:rsidRPr="002026D4">
              <w:rPr>
                <w:sz w:val="24"/>
              </w:rPr>
              <w:t xml:space="preserve">c. </w:t>
            </w:r>
            <w:proofErr w:type="spellStart"/>
            <w:r w:rsidRPr="002026D4">
              <w:rPr>
                <w:sz w:val="24"/>
              </w:rPr>
              <w:t>Kelas</w:t>
            </w:r>
            <w:proofErr w:type="spellEnd"/>
            <w:r w:rsidRPr="002026D4">
              <w:rPr>
                <w:sz w:val="24"/>
              </w:rPr>
              <w:t xml:space="preserve"> 3 :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42.000 (</w:t>
            </w:r>
            <w:proofErr w:type="spellStart"/>
            <w:r w:rsidRPr="002026D4">
              <w:rPr>
                <w:sz w:val="24"/>
              </w:rPr>
              <w:t>sebelumnya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Rp</w:t>
            </w:r>
            <w:proofErr w:type="spellEnd"/>
            <w:r w:rsidRPr="002026D4">
              <w:rPr>
                <w:sz w:val="24"/>
              </w:rPr>
              <w:t xml:space="preserve"> 25.500)</w:t>
            </w:r>
          </w:p>
          <w:p w:rsidR="003742D6" w:rsidRDefault="002026D4" w:rsidP="002026D4">
            <w:pPr>
              <w:rPr>
                <w:sz w:val="24"/>
                <w:lang w:val="id-ID"/>
              </w:rPr>
            </w:pPr>
            <w:r w:rsidRPr="002026D4">
              <w:rPr>
                <w:sz w:val="24"/>
              </w:rPr>
              <w:br/>
            </w:r>
            <w:r>
              <w:rPr>
                <w:sz w:val="24"/>
                <w:lang w:val="id-ID"/>
              </w:rPr>
              <w:t>Antara skema DJNS dan Kemenkeu, terdapat perbedaan pada</w:t>
            </w:r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kelas</w:t>
            </w:r>
            <w:proofErr w:type="spellEnd"/>
            <w:r w:rsidRPr="002026D4">
              <w:rPr>
                <w:sz w:val="24"/>
              </w:rPr>
              <w:t xml:space="preserve"> 1 </w:t>
            </w:r>
            <w:proofErr w:type="spellStart"/>
            <w:r w:rsidRPr="002026D4">
              <w:rPr>
                <w:sz w:val="24"/>
              </w:rPr>
              <w:t>dan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kelas</w:t>
            </w:r>
            <w:proofErr w:type="spellEnd"/>
            <w:r w:rsidRPr="002026D4">
              <w:rPr>
                <w:sz w:val="24"/>
              </w:rPr>
              <w:t xml:space="preserve"> 2 </w:t>
            </w:r>
            <w:proofErr w:type="spellStart"/>
            <w:r w:rsidRPr="002026D4">
              <w:rPr>
                <w:sz w:val="24"/>
              </w:rPr>
              <w:t>khusus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peserta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bukan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penerima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upah.</w:t>
            </w:r>
            <w:proofErr w:type="spellEnd"/>
            <w:r>
              <w:rPr>
                <w:sz w:val="24"/>
                <w:lang w:val="id-ID"/>
              </w:rPr>
              <w:t xml:space="preserve"> </w:t>
            </w:r>
            <w:r w:rsidRPr="002026D4">
              <w:rPr>
                <w:sz w:val="24"/>
              </w:rPr>
              <w:t xml:space="preserve">Sri </w:t>
            </w:r>
            <w:proofErr w:type="spellStart"/>
            <w:r w:rsidRPr="002026D4">
              <w:rPr>
                <w:sz w:val="24"/>
              </w:rPr>
              <w:t>Mulyani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mengusulkan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kenaikan</w:t>
            </w:r>
            <w:proofErr w:type="spellEnd"/>
            <w:r w:rsidRPr="002026D4">
              <w:rPr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>bagi peserta penerima</w:t>
            </w:r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upah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pemerintah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dilakukan</w:t>
            </w:r>
            <w:proofErr w:type="spellEnd"/>
            <w:r w:rsidRPr="002026D4">
              <w:rPr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 xml:space="preserve">pada </w:t>
            </w:r>
            <w:r w:rsidRPr="002026D4">
              <w:rPr>
                <w:sz w:val="24"/>
              </w:rPr>
              <w:t xml:space="preserve">1 </w:t>
            </w:r>
            <w:proofErr w:type="spellStart"/>
            <w:r w:rsidRPr="002026D4">
              <w:rPr>
                <w:sz w:val="24"/>
              </w:rPr>
              <w:t>Oktober</w:t>
            </w:r>
            <w:proofErr w:type="spellEnd"/>
            <w:r w:rsidRPr="002026D4">
              <w:rPr>
                <w:sz w:val="24"/>
              </w:rPr>
              <w:t xml:space="preserve"> 2019</w:t>
            </w:r>
            <w:r>
              <w:rPr>
                <w:sz w:val="24"/>
                <w:lang w:val="id-ID"/>
              </w:rPr>
              <w:t xml:space="preserve">, dan </w:t>
            </w:r>
            <w:proofErr w:type="spellStart"/>
            <w:r w:rsidRPr="002026D4">
              <w:rPr>
                <w:sz w:val="24"/>
              </w:rPr>
              <w:t>iuran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masyarkat</w:t>
            </w:r>
            <w:proofErr w:type="spellEnd"/>
            <w:r w:rsidRPr="002026D4">
              <w:rPr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 xml:space="preserve">dapat </w:t>
            </w:r>
            <w:proofErr w:type="spellStart"/>
            <w:r w:rsidRPr="002026D4">
              <w:rPr>
                <w:sz w:val="24"/>
              </w:rPr>
              <w:t>dimulai</w:t>
            </w:r>
            <w:proofErr w:type="spellEnd"/>
            <w:r w:rsidRPr="002026D4">
              <w:rPr>
                <w:sz w:val="24"/>
              </w:rPr>
              <w:t xml:space="preserve"> </w:t>
            </w:r>
            <w:proofErr w:type="spellStart"/>
            <w:r w:rsidRPr="002026D4">
              <w:rPr>
                <w:sz w:val="24"/>
              </w:rPr>
              <w:t>Januari</w:t>
            </w:r>
            <w:proofErr w:type="spellEnd"/>
            <w:r w:rsidRPr="002026D4">
              <w:rPr>
                <w:sz w:val="24"/>
              </w:rPr>
              <w:t xml:space="preserve"> 2020.</w:t>
            </w:r>
          </w:p>
          <w:p w:rsidR="002026D4" w:rsidRDefault="002026D4" w:rsidP="002026D4">
            <w:pPr>
              <w:rPr>
                <w:sz w:val="24"/>
                <w:lang w:val="id-ID"/>
              </w:rPr>
            </w:pPr>
          </w:p>
          <w:p w:rsidR="002026D4" w:rsidRPr="002026D4" w:rsidRDefault="00103323" w:rsidP="00103323">
            <w:pPr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Sri Mulyani beranggapan jika </w:t>
            </w:r>
            <w:proofErr w:type="spellStart"/>
            <w:r w:rsidR="002026D4" w:rsidRPr="002026D4">
              <w:rPr>
                <w:sz w:val="24"/>
              </w:rPr>
              <w:t>jumlah</w:t>
            </w:r>
            <w:proofErr w:type="spellEnd"/>
            <w:r w:rsidR="002026D4" w:rsidRPr="002026D4">
              <w:rPr>
                <w:sz w:val="24"/>
              </w:rPr>
              <w:t xml:space="preserve"> </w:t>
            </w:r>
            <w:proofErr w:type="spellStart"/>
            <w:r w:rsidR="002026D4" w:rsidRPr="002026D4">
              <w:rPr>
                <w:sz w:val="24"/>
              </w:rPr>
              <w:t>iuran</w:t>
            </w:r>
            <w:proofErr w:type="spellEnd"/>
            <w:r w:rsidR="002026D4" w:rsidRPr="002026D4">
              <w:rPr>
                <w:sz w:val="24"/>
              </w:rPr>
              <w:t xml:space="preserve"> </w:t>
            </w:r>
            <w:proofErr w:type="spellStart"/>
            <w:r w:rsidR="002026D4" w:rsidRPr="002026D4">
              <w:rPr>
                <w:sz w:val="24"/>
              </w:rPr>
              <w:t>tetap</w:t>
            </w:r>
            <w:proofErr w:type="spellEnd"/>
            <w:r w:rsidR="002026D4" w:rsidRPr="002026D4">
              <w:rPr>
                <w:sz w:val="24"/>
              </w:rPr>
              <w:t xml:space="preserve"> </w:t>
            </w:r>
            <w:proofErr w:type="spellStart"/>
            <w:r w:rsidR="002026D4" w:rsidRPr="002026D4">
              <w:rPr>
                <w:sz w:val="24"/>
              </w:rPr>
              <w:t>sama</w:t>
            </w:r>
            <w:proofErr w:type="spellEnd"/>
            <w:r w:rsidR="002026D4" w:rsidRPr="002026D4">
              <w:rPr>
                <w:sz w:val="24"/>
              </w:rPr>
              <w:t xml:space="preserve">, </w:t>
            </w:r>
            <w:proofErr w:type="spellStart"/>
            <w:r w:rsidR="002026D4" w:rsidRPr="002026D4">
              <w:rPr>
                <w:sz w:val="24"/>
              </w:rPr>
              <w:t>peserta</w:t>
            </w:r>
            <w:proofErr w:type="spellEnd"/>
            <w:r w:rsidR="002026D4" w:rsidRPr="002026D4">
              <w:rPr>
                <w:sz w:val="24"/>
              </w:rPr>
              <w:t xml:space="preserve"> </w:t>
            </w:r>
            <w:proofErr w:type="spellStart"/>
            <w:r w:rsidR="002026D4" w:rsidRPr="002026D4">
              <w:rPr>
                <w:sz w:val="24"/>
              </w:rPr>
              <w:t>sama</w:t>
            </w:r>
            <w:proofErr w:type="spellEnd"/>
            <w:r w:rsidR="002026D4" w:rsidRPr="002026D4">
              <w:rPr>
                <w:sz w:val="24"/>
              </w:rPr>
              <w:t xml:space="preserve">, </w:t>
            </w:r>
            <w:proofErr w:type="spellStart"/>
            <w:r w:rsidR="002026D4" w:rsidRPr="002026D4">
              <w:rPr>
                <w:sz w:val="24"/>
              </w:rPr>
              <w:t>proyeksi</w:t>
            </w:r>
            <w:proofErr w:type="spellEnd"/>
            <w:r w:rsidR="002026D4" w:rsidRPr="002026D4">
              <w:rPr>
                <w:sz w:val="24"/>
              </w:rPr>
              <w:t xml:space="preserve"> </w:t>
            </w:r>
            <w:proofErr w:type="spellStart"/>
            <w:r w:rsidR="002026D4" w:rsidRPr="002026D4">
              <w:rPr>
                <w:sz w:val="24"/>
              </w:rPr>
              <w:t>rawat</w:t>
            </w:r>
            <w:proofErr w:type="spellEnd"/>
            <w:r w:rsidR="002026D4" w:rsidRPr="002026D4">
              <w:rPr>
                <w:sz w:val="24"/>
              </w:rPr>
              <w:t xml:space="preserve"> </w:t>
            </w:r>
            <w:proofErr w:type="spellStart"/>
            <w:r w:rsidR="002026D4" w:rsidRPr="002026D4">
              <w:rPr>
                <w:sz w:val="24"/>
              </w:rPr>
              <w:t>inap</w:t>
            </w:r>
            <w:proofErr w:type="spellEnd"/>
            <w:r w:rsidR="002026D4" w:rsidRPr="002026D4">
              <w:rPr>
                <w:sz w:val="24"/>
              </w:rPr>
              <w:t xml:space="preserve"> </w:t>
            </w:r>
            <w:proofErr w:type="spellStart"/>
            <w:r w:rsidR="002026D4" w:rsidRPr="002026D4">
              <w:rPr>
                <w:sz w:val="24"/>
              </w:rPr>
              <w:t>sama</w:t>
            </w:r>
            <w:proofErr w:type="spellEnd"/>
            <w:r w:rsidR="002026D4" w:rsidRPr="002026D4">
              <w:rPr>
                <w:sz w:val="24"/>
              </w:rPr>
              <w:t xml:space="preserve">, </w:t>
            </w:r>
            <w:r>
              <w:rPr>
                <w:sz w:val="24"/>
                <w:lang w:val="id-ID"/>
              </w:rPr>
              <w:t xml:space="preserve">hal tersebut membuat </w:t>
            </w:r>
            <w:proofErr w:type="spellStart"/>
            <w:r w:rsidR="002026D4" w:rsidRPr="002026D4">
              <w:rPr>
                <w:sz w:val="24"/>
              </w:rPr>
              <w:t>defisit</w:t>
            </w:r>
            <w:proofErr w:type="spellEnd"/>
            <w:r w:rsidR="002026D4" w:rsidRPr="002026D4">
              <w:rPr>
                <w:sz w:val="24"/>
              </w:rPr>
              <w:t xml:space="preserve"> BPJS </w:t>
            </w:r>
            <w:proofErr w:type="spellStart"/>
            <w:r w:rsidR="002026D4" w:rsidRPr="002026D4">
              <w:rPr>
                <w:sz w:val="24"/>
              </w:rPr>
              <w:t>Kesehatan</w:t>
            </w:r>
            <w:proofErr w:type="spellEnd"/>
            <w:r w:rsidR="002026D4" w:rsidRPr="002026D4">
              <w:rPr>
                <w:sz w:val="24"/>
              </w:rPr>
              <w:t xml:space="preserve"> </w:t>
            </w:r>
            <w:proofErr w:type="spellStart"/>
            <w:r w:rsidR="002026D4" w:rsidRPr="002026D4">
              <w:rPr>
                <w:sz w:val="24"/>
              </w:rPr>
              <w:t>akan</w:t>
            </w:r>
            <w:proofErr w:type="spellEnd"/>
            <w:r w:rsidR="002026D4" w:rsidRPr="002026D4">
              <w:rPr>
                <w:sz w:val="24"/>
              </w:rPr>
              <w:t xml:space="preserve"> </w:t>
            </w:r>
            <w:proofErr w:type="spellStart"/>
            <w:r w:rsidR="002026D4" w:rsidRPr="002026D4">
              <w:rPr>
                <w:sz w:val="24"/>
              </w:rPr>
              <w:t>meningkat</w:t>
            </w:r>
            <w:proofErr w:type="spellEnd"/>
            <w:r w:rsidR="002026D4" w:rsidRPr="002026D4">
              <w:rPr>
                <w:sz w:val="24"/>
              </w:rPr>
              <w:t xml:space="preserve">, </w:t>
            </w:r>
            <w:proofErr w:type="spellStart"/>
            <w:r w:rsidR="002026D4" w:rsidRPr="002026D4">
              <w:rPr>
                <w:sz w:val="24"/>
              </w:rPr>
              <w:t>dari</w:t>
            </w:r>
            <w:proofErr w:type="spellEnd"/>
            <w:r w:rsidR="002026D4" w:rsidRPr="002026D4">
              <w:rPr>
                <w:sz w:val="24"/>
              </w:rPr>
              <w:t xml:space="preserve"> Rp28,35 </w:t>
            </w:r>
            <w:proofErr w:type="spellStart"/>
            <w:r w:rsidR="002026D4" w:rsidRPr="002026D4">
              <w:rPr>
                <w:sz w:val="24"/>
              </w:rPr>
              <w:t>triliun</w:t>
            </w:r>
            <w:proofErr w:type="spellEnd"/>
            <w:r w:rsidR="002026D4" w:rsidRPr="002026D4">
              <w:rPr>
                <w:sz w:val="24"/>
              </w:rPr>
              <w:t xml:space="preserve"> </w:t>
            </w:r>
            <w:proofErr w:type="spellStart"/>
            <w:r w:rsidR="002026D4" w:rsidRPr="002026D4">
              <w:rPr>
                <w:sz w:val="24"/>
              </w:rPr>
              <w:t>menjadi</w:t>
            </w:r>
            <w:proofErr w:type="spellEnd"/>
            <w:r w:rsidR="002026D4" w:rsidRPr="002026D4">
              <w:rPr>
                <w:sz w:val="24"/>
              </w:rPr>
              <w:t xml:space="preserve"> Rp32,84 </w:t>
            </w:r>
            <w:proofErr w:type="spellStart"/>
            <w:r w:rsidR="002026D4" w:rsidRPr="002026D4">
              <w:rPr>
                <w:sz w:val="24"/>
              </w:rPr>
              <w:t>triliun</w:t>
            </w:r>
            <w:proofErr w:type="spellEnd"/>
            <w:r>
              <w:rPr>
                <w:sz w:val="24"/>
                <w:lang w:val="id-ID"/>
              </w:rPr>
              <w:t>.</w:t>
            </w:r>
            <w:r w:rsidRPr="002026D4">
              <w:rPr>
                <w:sz w:val="24"/>
              </w:rPr>
              <w:t xml:space="preserve"> </w:t>
            </w:r>
            <w:r w:rsidR="002026D4" w:rsidRPr="002026D4">
              <w:rPr>
                <w:sz w:val="24"/>
              </w:rPr>
              <w:br/>
            </w:r>
            <w:r w:rsidR="002026D4" w:rsidRPr="002026D4">
              <w:rPr>
                <w:sz w:val="24"/>
              </w:rPr>
              <w:br/>
            </w:r>
            <w:r>
              <w:rPr>
                <w:sz w:val="24"/>
                <w:lang w:val="id-ID"/>
              </w:rPr>
              <w:t xml:space="preserve">Meskipun wacana kenaikan tarif </w:t>
            </w:r>
            <w:hyperlink r:id="rId8" w:history="1">
              <w:r w:rsidRPr="00DD075B">
                <w:rPr>
                  <w:rStyle w:val="Hyperlink"/>
                  <w:sz w:val="24"/>
                  <w:lang w:val="id-ID"/>
                </w:rPr>
                <w:t>BPJS Kesehatan</w:t>
              </w:r>
            </w:hyperlink>
            <w:r>
              <w:rPr>
                <w:sz w:val="24"/>
                <w:lang w:val="id-ID"/>
              </w:rPr>
              <w:t xml:space="preserve"> sudah lama bergulir, semuanya masih menunggu keputusan dari Presiden</w:t>
            </w:r>
            <w:r w:rsidR="002026D4" w:rsidRPr="002026D4">
              <w:rPr>
                <w:sz w:val="24"/>
              </w:rPr>
              <w:t xml:space="preserve"> </w:t>
            </w:r>
            <w:proofErr w:type="spellStart"/>
            <w:r w:rsidR="002026D4" w:rsidRPr="002026D4">
              <w:rPr>
                <w:sz w:val="24"/>
              </w:rPr>
              <w:t>Joko</w:t>
            </w:r>
            <w:proofErr w:type="spellEnd"/>
            <w:r w:rsidR="002026D4" w:rsidRPr="002026D4">
              <w:rPr>
                <w:sz w:val="24"/>
              </w:rPr>
              <w:t xml:space="preserve"> </w:t>
            </w:r>
            <w:proofErr w:type="spellStart"/>
            <w:r w:rsidR="002026D4" w:rsidRPr="002026D4">
              <w:rPr>
                <w:sz w:val="24"/>
              </w:rPr>
              <w:t>Widodo</w:t>
            </w:r>
            <w:proofErr w:type="spellEnd"/>
            <w:r w:rsidR="002026D4" w:rsidRPr="002026D4">
              <w:rPr>
                <w:sz w:val="24"/>
              </w:rPr>
              <w:t xml:space="preserve"> (</w:t>
            </w:r>
            <w:proofErr w:type="spellStart"/>
            <w:r w:rsidR="002026D4" w:rsidRPr="002026D4">
              <w:rPr>
                <w:sz w:val="24"/>
              </w:rPr>
              <w:t>Jokowi</w:t>
            </w:r>
            <w:proofErr w:type="spellEnd"/>
            <w:r w:rsidR="002026D4" w:rsidRPr="002026D4">
              <w:rPr>
                <w:sz w:val="24"/>
              </w:rPr>
              <w:t>).</w:t>
            </w:r>
            <w:r>
              <w:rPr>
                <w:sz w:val="24"/>
                <w:lang w:val="id-ID"/>
              </w:rPr>
              <w:t xml:space="preserve"> Jika Jokowi setuju</w:t>
            </w:r>
            <w:r w:rsidR="002026D4" w:rsidRPr="002026D4">
              <w:rPr>
                <w:sz w:val="24"/>
              </w:rPr>
              <w:t xml:space="preserve">, </w:t>
            </w:r>
            <w:proofErr w:type="spellStart"/>
            <w:r w:rsidR="002026D4" w:rsidRPr="002026D4">
              <w:rPr>
                <w:sz w:val="24"/>
              </w:rPr>
              <w:t>maka</w:t>
            </w:r>
            <w:proofErr w:type="spellEnd"/>
            <w:r w:rsidR="002026D4" w:rsidRPr="002026D4">
              <w:rPr>
                <w:sz w:val="24"/>
              </w:rPr>
              <w:t xml:space="preserve"> BPJS </w:t>
            </w:r>
            <w:proofErr w:type="spellStart"/>
            <w:r w:rsidR="002026D4" w:rsidRPr="002026D4">
              <w:rPr>
                <w:sz w:val="24"/>
              </w:rPr>
              <w:t>Kesehatan</w:t>
            </w:r>
            <w:proofErr w:type="spellEnd"/>
            <w:r w:rsidR="002026D4" w:rsidRPr="002026D4">
              <w:rPr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 xml:space="preserve">akan </w:t>
            </w:r>
            <w:proofErr w:type="spellStart"/>
            <w:r w:rsidR="002026D4" w:rsidRPr="002026D4">
              <w:rPr>
                <w:sz w:val="24"/>
              </w:rPr>
              <w:t>dana</w:t>
            </w:r>
            <w:proofErr w:type="spellEnd"/>
            <w:r w:rsidR="002026D4" w:rsidRPr="002026D4">
              <w:rPr>
                <w:sz w:val="24"/>
              </w:rPr>
              <w:t xml:space="preserve"> </w:t>
            </w:r>
            <w:proofErr w:type="spellStart"/>
            <w:r w:rsidR="002026D4" w:rsidRPr="002026D4">
              <w:rPr>
                <w:sz w:val="24"/>
              </w:rPr>
              <w:t>dari</w:t>
            </w:r>
            <w:proofErr w:type="spellEnd"/>
            <w:r w:rsidR="002026D4" w:rsidRPr="002026D4">
              <w:rPr>
                <w:sz w:val="24"/>
              </w:rPr>
              <w:t xml:space="preserve"> </w:t>
            </w:r>
            <w:proofErr w:type="spellStart"/>
            <w:r w:rsidR="002026D4" w:rsidRPr="002026D4">
              <w:rPr>
                <w:sz w:val="24"/>
              </w:rPr>
              <w:t>pemerintah</w:t>
            </w:r>
            <w:proofErr w:type="spellEnd"/>
            <w:r w:rsidR="002026D4" w:rsidRPr="002026D4">
              <w:rPr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 xml:space="preserve">lantaran </w:t>
            </w:r>
            <w:proofErr w:type="spellStart"/>
            <w:r w:rsidR="002026D4" w:rsidRPr="002026D4">
              <w:rPr>
                <w:sz w:val="24"/>
              </w:rPr>
              <w:t>jumlah</w:t>
            </w:r>
            <w:proofErr w:type="spellEnd"/>
            <w:r w:rsidR="002026D4" w:rsidRPr="002026D4">
              <w:rPr>
                <w:sz w:val="24"/>
              </w:rPr>
              <w:t xml:space="preserve"> </w:t>
            </w:r>
            <w:proofErr w:type="spellStart"/>
            <w:r w:rsidR="002026D4" w:rsidRPr="002026D4">
              <w:rPr>
                <w:sz w:val="24"/>
              </w:rPr>
              <w:t>subsidi</w:t>
            </w:r>
            <w:proofErr w:type="spellEnd"/>
            <w:r>
              <w:rPr>
                <w:sz w:val="24"/>
                <w:lang w:val="id-ID"/>
              </w:rPr>
              <w:t>nya</w:t>
            </w:r>
            <w:r w:rsidR="002026D4" w:rsidRPr="002026D4">
              <w:rPr>
                <w:sz w:val="24"/>
              </w:rPr>
              <w:t xml:space="preserve"> </w:t>
            </w:r>
            <w:proofErr w:type="spellStart"/>
            <w:r w:rsidR="002026D4" w:rsidRPr="002026D4">
              <w:rPr>
                <w:sz w:val="24"/>
              </w:rPr>
              <w:t>bertambah</w:t>
            </w:r>
            <w:proofErr w:type="spellEnd"/>
            <w:r w:rsidR="002026D4" w:rsidRPr="002026D4">
              <w:rPr>
                <w:sz w:val="24"/>
              </w:rPr>
              <w:t>.</w:t>
            </w:r>
            <w:r w:rsidR="00DD075B">
              <w:rPr>
                <w:sz w:val="24"/>
                <w:lang w:val="id-ID"/>
              </w:rPr>
              <w:t xml:space="preserve"> Setuju untuk naik?</w:t>
            </w:r>
            <w:r w:rsidR="002026D4" w:rsidRPr="002026D4">
              <w:rPr>
                <w:sz w:val="24"/>
              </w:rPr>
              <w:br/>
            </w:r>
          </w:p>
        </w:tc>
      </w:tr>
      <w:tr w:rsidR="00990F46" w:rsidRPr="00923CE5" w:rsidTr="00990F46">
        <w:tc>
          <w:tcPr>
            <w:tcW w:w="1332" w:type="dxa"/>
          </w:tcPr>
          <w:p w:rsidR="00990F46" w:rsidRPr="00923CE5" w:rsidRDefault="004A3674" w:rsidP="00586787">
            <w:pPr>
              <w:spacing w:afterLines="60" w:after="144"/>
              <w:rPr>
                <w:rFonts w:cstheme="minorHAnsi"/>
                <w:sz w:val="24"/>
                <w:szCs w:val="24"/>
                <w:lang w:val="id-ID"/>
              </w:rPr>
            </w:pPr>
            <w:proofErr w:type="spellStart"/>
            <w:r w:rsidRPr="00923CE5">
              <w:rPr>
                <w:rFonts w:cstheme="minorHAnsi"/>
                <w:sz w:val="24"/>
                <w:szCs w:val="24"/>
              </w:rPr>
              <w:lastRenderedPageBreak/>
              <w:t>Penutup</w:t>
            </w:r>
            <w:proofErr w:type="spellEnd"/>
          </w:p>
        </w:tc>
        <w:tc>
          <w:tcPr>
            <w:tcW w:w="8018" w:type="dxa"/>
          </w:tcPr>
          <w:p w:rsidR="00990F46" w:rsidRPr="00923CE5" w:rsidRDefault="00990F46" w:rsidP="00586787">
            <w:pPr>
              <w:spacing w:afterLines="60" w:after="144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90F46" w:rsidRPr="00923CE5" w:rsidTr="00990F46">
        <w:tc>
          <w:tcPr>
            <w:tcW w:w="1332" w:type="dxa"/>
          </w:tcPr>
          <w:p w:rsidR="00990F46" w:rsidRPr="00923CE5" w:rsidRDefault="004A3674" w:rsidP="00586787">
            <w:pPr>
              <w:spacing w:afterLines="60" w:after="144"/>
              <w:ind w:left="22"/>
              <w:rPr>
                <w:rFonts w:cstheme="minorHAnsi"/>
                <w:sz w:val="24"/>
                <w:szCs w:val="24"/>
              </w:rPr>
            </w:pPr>
            <w:r w:rsidRPr="00923CE5">
              <w:rPr>
                <w:rFonts w:cstheme="minorHAnsi"/>
                <w:sz w:val="24"/>
                <w:szCs w:val="24"/>
              </w:rPr>
              <w:t xml:space="preserve">Link </w:t>
            </w:r>
            <w:proofErr w:type="spellStart"/>
            <w:r w:rsidRPr="00923CE5">
              <w:rPr>
                <w:rFonts w:cstheme="minorHAnsi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8018" w:type="dxa"/>
          </w:tcPr>
          <w:p w:rsidR="00990F46" w:rsidRPr="00923CE5" w:rsidRDefault="00990F46" w:rsidP="00586787">
            <w:pPr>
              <w:spacing w:afterLines="60" w:after="144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4B7D5C" w:rsidRPr="00521C56" w:rsidRDefault="004B7D5C" w:rsidP="004532C2">
      <w:pPr>
        <w:spacing w:afterLines="60" w:after="144" w:line="240" w:lineRule="auto"/>
        <w:rPr>
          <w:rFonts w:asciiTheme="majorHAnsi" w:hAnsiTheme="majorHAnsi" w:cstheme="majorHAnsi"/>
          <w:sz w:val="24"/>
          <w:szCs w:val="24"/>
        </w:rPr>
      </w:pPr>
    </w:p>
    <w:sectPr w:rsidR="004B7D5C" w:rsidRPr="00521C56" w:rsidSect="005F5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482"/>
    <w:multiLevelType w:val="hybridMultilevel"/>
    <w:tmpl w:val="0A84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43D1"/>
    <w:multiLevelType w:val="hybridMultilevel"/>
    <w:tmpl w:val="1326123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351536"/>
    <w:multiLevelType w:val="hybridMultilevel"/>
    <w:tmpl w:val="1BA4EC6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970B67"/>
    <w:multiLevelType w:val="hybridMultilevel"/>
    <w:tmpl w:val="492C7FE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9623AB"/>
    <w:multiLevelType w:val="hybridMultilevel"/>
    <w:tmpl w:val="1D1C0356"/>
    <w:lvl w:ilvl="0" w:tplc="197C17CA">
      <w:numFmt w:val="bullet"/>
      <w:lvlText w:val="-"/>
      <w:lvlJc w:val="left"/>
      <w:pPr>
        <w:ind w:left="1948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5">
    <w:nsid w:val="5FA15BE9"/>
    <w:multiLevelType w:val="multilevel"/>
    <w:tmpl w:val="916A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47999"/>
    <w:multiLevelType w:val="hybridMultilevel"/>
    <w:tmpl w:val="24F40E86"/>
    <w:lvl w:ilvl="0" w:tplc="90D6C8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C79F9"/>
    <w:multiLevelType w:val="multilevel"/>
    <w:tmpl w:val="3E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75AB"/>
    <w:rsid w:val="00024648"/>
    <w:rsid w:val="00030EC6"/>
    <w:rsid w:val="00036980"/>
    <w:rsid w:val="00103323"/>
    <w:rsid w:val="00176A09"/>
    <w:rsid w:val="002026D4"/>
    <w:rsid w:val="00212E00"/>
    <w:rsid w:val="00235CED"/>
    <w:rsid w:val="002C06F7"/>
    <w:rsid w:val="003030D8"/>
    <w:rsid w:val="003267DB"/>
    <w:rsid w:val="00372D91"/>
    <w:rsid w:val="003742D6"/>
    <w:rsid w:val="00432BDC"/>
    <w:rsid w:val="004532C2"/>
    <w:rsid w:val="00455D66"/>
    <w:rsid w:val="004A3674"/>
    <w:rsid w:val="004B7D5C"/>
    <w:rsid w:val="00521C56"/>
    <w:rsid w:val="00561A6F"/>
    <w:rsid w:val="00580C29"/>
    <w:rsid w:val="00586787"/>
    <w:rsid w:val="005F5558"/>
    <w:rsid w:val="00691094"/>
    <w:rsid w:val="006975AB"/>
    <w:rsid w:val="0076305D"/>
    <w:rsid w:val="007B2C2A"/>
    <w:rsid w:val="007E1B83"/>
    <w:rsid w:val="008E71C9"/>
    <w:rsid w:val="008F5D71"/>
    <w:rsid w:val="00923CE5"/>
    <w:rsid w:val="00990F46"/>
    <w:rsid w:val="009E4E64"/>
    <w:rsid w:val="009E5EA9"/>
    <w:rsid w:val="00AE6658"/>
    <w:rsid w:val="00B07D13"/>
    <w:rsid w:val="00B768FD"/>
    <w:rsid w:val="00BA1539"/>
    <w:rsid w:val="00CD4847"/>
    <w:rsid w:val="00D11DC6"/>
    <w:rsid w:val="00D348D9"/>
    <w:rsid w:val="00D462FC"/>
    <w:rsid w:val="00D969BE"/>
    <w:rsid w:val="00DD075B"/>
    <w:rsid w:val="00DE72F7"/>
    <w:rsid w:val="00E167EC"/>
    <w:rsid w:val="00E45F6D"/>
    <w:rsid w:val="00F0113B"/>
    <w:rsid w:val="00F504B8"/>
    <w:rsid w:val="00F6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AB"/>
  </w:style>
  <w:style w:type="paragraph" w:styleId="Heading5">
    <w:name w:val="heading 5"/>
    <w:basedOn w:val="Normal"/>
    <w:link w:val="Heading5Char"/>
    <w:uiPriority w:val="9"/>
    <w:qFormat/>
    <w:rsid w:val="002026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5D"/>
    <w:pPr>
      <w:ind w:left="720"/>
      <w:contextualSpacing/>
    </w:pPr>
  </w:style>
  <w:style w:type="table" w:styleId="TableGrid">
    <w:name w:val="Table Grid"/>
    <w:basedOn w:val="TableNormal"/>
    <w:uiPriority w:val="39"/>
    <w:rsid w:val="0099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word">
    <w:name w:val="keyword"/>
    <w:basedOn w:val="DefaultParagraphFont"/>
    <w:rsid w:val="00691094"/>
  </w:style>
  <w:style w:type="character" w:customStyle="1" w:styleId="Heading5Char">
    <w:name w:val="Heading 5 Char"/>
    <w:basedOn w:val="DefaultParagraphFont"/>
    <w:link w:val="Heading5"/>
    <w:uiPriority w:val="9"/>
    <w:rsid w:val="002026D4"/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026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5D"/>
    <w:pPr>
      <w:ind w:left="720"/>
      <w:contextualSpacing/>
    </w:pPr>
  </w:style>
  <w:style w:type="table" w:styleId="TableGrid">
    <w:name w:val="Table Grid"/>
    <w:basedOn w:val="TableNormal"/>
    <w:uiPriority w:val="39"/>
    <w:rsid w:val="0099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word">
    <w:name w:val="keyword"/>
    <w:basedOn w:val="DefaultParagraphFont"/>
    <w:rsid w:val="0069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jawanews.com/berita-hari-ini/defisit-bpjs-kesehatan-diprediksi-bakal-membengkak-rp-500-miliar-di-tahun-ini/" TargetMode="External"/><Relationship Id="rId3" Type="http://schemas.openxmlformats.org/officeDocument/2006/relationships/styles" Target="styles.xml"/><Relationship Id="rId7" Type="http://schemas.openxmlformats.org/officeDocument/2006/relationships/hyperlink" Target="https://djawanews.com/berita-hari-ini/defisit-bpjs-kesehatan-diprediksi-bakal-membengkak-rp-500-miliar-di-tahun-i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A903-04E4-48A7-830E-31283E84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Tampan</dc:creator>
  <cp:lastModifiedBy>Multitudo</cp:lastModifiedBy>
  <cp:revision>8</cp:revision>
  <dcterms:created xsi:type="dcterms:W3CDTF">2019-03-04T10:15:00Z</dcterms:created>
  <dcterms:modified xsi:type="dcterms:W3CDTF">2019-08-28T06:10:00Z</dcterms:modified>
</cp:coreProperties>
</file>